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Документооборот в сфере оценочной деятельности</w:t>
            </w:r>
          </w:p>
          <w:p>
            <w:pPr>
              <w:jc w:val="center"/>
              <w:spacing w:after="0" w:line="240" w:lineRule="auto"/>
              <w:rPr>
                <w:sz w:val="32"/>
                <w:szCs w:val="32"/>
              </w:rPr>
            </w:pPr>
            <w:r>
              <w:rPr>
                <w:rFonts w:ascii="Times New Roman" w:hAnsi="Times New Roman" w:cs="Times New Roman"/>
                <w:color w:val="#000000"/>
                <w:sz w:val="32"/>
                <w:szCs w:val="32"/>
              </w:rPr>
              <w:t> К.М.02.07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/Ридченко А.И./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«Документооборот в сфере оценочной 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К.М.02.07 «Документооборот в сфере оценочной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«Документооборот в сфере оценочной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стоимость движимого и недвижимого имущества, прав, работ и услуг, связанных с объектами недвижимости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нормативные правовые акты в области оценочной деятельности, основы гражданского законодательства РФ, основы налогового законодательства РФ, понятие и классификация гражданских прав, основы земельного законодательства РФ, стандарты, правила и методология определения стоимостей, соответствующую судебную практику</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порядок составления задания на определение стоимостей и заключения договоров с заказчиком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знать классификацию объектов недвижимости, требования охраны труда</w:t>
            </w:r>
          </w:p>
        </w:tc>
      </w:tr>
      <w:tr>
        <w:trPr>
          <w:trHeight w:hRule="exact" w:val="1396.35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уметь использовать в работе нормативные правовые акты в области оценочной деятельности, основы гражданского законодательства РФ, основы налогового законодательства РФ, понятие и классификация гражданских прав, основы земельного законодательства РФ, стандарты, правила и методология определения стоимостей, соответствующую судебную практику</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уметь выявлять основные особенности и характеристики движимого и недвижимого имущества в переговорах с заказчиками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уметь структурировать и хранить документы, получаемые от заказчика и третьих лиц в ходе определения стоимостей, использовать установленную форму при составлении итогового документа об определении стоимостей в виде отчета, сметы, заключения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уметь отражать состояние и особенности объектов движимого и недвижимого имущества при их описании, идентифицировать движимое и недвижимое имущество и отражать его состояние и особенности при фотографировании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ПК-2.24 владеть навыками составления задания на определение стоимостей в соответствии с установленной формой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ПК-2.25 владеть навыками изучения и анализа правоустанавливающих документов на недвижимое имущество</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ПК-2.27 владеть навыками осмотра и фотографирования движимого и недвижимого имущества</w:t>
            </w:r>
          </w:p>
        </w:tc>
      </w:tr>
      <w:tr>
        <w:trPr>
          <w:trHeight w:hRule="exact" w:val="447.174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ПК-2.30 владеть навыками составления итогового документа об определении стоимостей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недвижимого имущества, в виде отчета, сметы, заключения, архивирование документов, получаемых от заказчика и третьих лиц в ходе определения стоимостей недвижимого имущества</w:t>
            </w:r>
          </w:p>
        </w:tc>
      </w:tr>
      <w:tr>
        <w:trPr>
          <w:trHeight w:hRule="exact" w:val="416.7449"/>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К.М.02.07 «Документооборот в сфере оценочной деятельности» относится к обязательной части, является дисциплиной Блока Б1. «Дисциплины (модули)». Модуль "Определение стоимости движимого и недвижимого имущества, прав, работ и услуг, связанных с объектами недвижимости"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9"/>
        </w:trPr>
        <w:tc>
          <w:tcPr>
            <w:tcW w:w="3970" w:type="dxa"/>
          </w:tcPr>
          <w:p/>
        </w:tc>
        <w:tc>
          <w:tcPr>
            <w:tcW w:w="3828" w:type="dxa"/>
          </w:tcPr>
          <w:p/>
        </w:tc>
        <w:tc>
          <w:tcPr>
            <w:tcW w:w="852" w:type="dxa"/>
          </w:tcPr>
          <w:p/>
        </w:tc>
        <w:tc>
          <w:tcPr>
            <w:tcW w:w="993" w:type="dxa"/>
          </w:tcPr>
          <w:p/>
        </w:tc>
      </w:tr>
      <w:tr>
        <w:trPr>
          <w:trHeight w:hRule="exact" w:val="277.8301"/>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4037.79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Организация оценочной деятельности в Российской Федерации</w:t>
            </w:r>
          </w:p>
          <w:p>
            <w:pPr>
              <w:jc w:val="center"/>
              <w:spacing w:after="0" w:line="240" w:lineRule="auto"/>
              <w:rPr>
                <w:sz w:val="22"/>
                <w:szCs w:val="22"/>
              </w:rPr>
            </w:pPr>
            <w:r>
              <w:rPr>
                <w:rFonts w:ascii="Times New Roman" w:hAnsi="Times New Roman" w:cs="Times New Roman"/>
                <w:color w:val="#000000"/>
                <w:sz w:val="22"/>
                <w:szCs w:val="22"/>
              </w:rPr>
              <w:t> Оценка и экспертиза стоимости</w:t>
            </w:r>
          </w:p>
          <w:p>
            <w:pPr>
              <w:jc w:val="center"/>
              <w:spacing w:after="0" w:line="240" w:lineRule="auto"/>
              <w:rPr>
                <w:sz w:val="22"/>
                <w:szCs w:val="22"/>
              </w:rPr>
            </w:pPr>
            <w:r>
              <w:rPr>
                <w:rFonts w:ascii="Times New Roman" w:hAnsi="Times New Roman" w:cs="Times New Roman"/>
                <w:color w:val="#000000"/>
                <w:sz w:val="22"/>
                <w:szCs w:val="22"/>
              </w:rPr>
              <w:t> Оценка рыночной стоимости организации</w:t>
            </w:r>
          </w:p>
          <w:p>
            <w:pPr>
              <w:jc w:val="center"/>
              <w:spacing w:after="0" w:line="240" w:lineRule="auto"/>
              <w:rPr>
                <w:sz w:val="22"/>
                <w:szCs w:val="22"/>
              </w:rPr>
            </w:pPr>
            <w:r>
              <w:rPr>
                <w:rFonts w:ascii="Times New Roman" w:hAnsi="Times New Roman" w:cs="Times New Roman"/>
                <w:color w:val="#000000"/>
                <w:sz w:val="22"/>
                <w:szCs w:val="22"/>
              </w:rPr>
              <w:t> Оценка стоимости  ценных бумаг</w:t>
            </w:r>
          </w:p>
          <w:p>
            <w:pPr>
              <w:jc w:val="center"/>
              <w:spacing w:after="0" w:line="240" w:lineRule="auto"/>
              <w:rPr>
                <w:sz w:val="22"/>
                <w:szCs w:val="22"/>
              </w:rPr>
            </w:pPr>
            <w:r>
              <w:rPr>
                <w:rFonts w:ascii="Times New Roman" w:hAnsi="Times New Roman" w:cs="Times New Roman"/>
                <w:color w:val="#000000"/>
                <w:sz w:val="22"/>
                <w:szCs w:val="22"/>
              </w:rPr>
              <w:t> Оценка стоимости нематериальных активов и интеллектуальной собственности</w:t>
            </w:r>
          </w:p>
          <w:p>
            <w:pPr>
              <w:jc w:val="center"/>
              <w:spacing w:after="0" w:line="240" w:lineRule="auto"/>
              <w:rPr>
                <w:sz w:val="22"/>
                <w:szCs w:val="22"/>
              </w:rPr>
            </w:pPr>
            <w:r>
              <w:rPr>
                <w:rFonts w:ascii="Times New Roman" w:hAnsi="Times New Roman" w:cs="Times New Roman"/>
                <w:color w:val="#000000"/>
                <w:sz w:val="22"/>
                <w:szCs w:val="22"/>
              </w:rPr>
              <w:t> Оценка машин, оборудования и транспортных средств</w:t>
            </w:r>
          </w:p>
          <w:p>
            <w:pPr>
              <w:jc w:val="center"/>
              <w:spacing w:after="0" w:line="240" w:lineRule="auto"/>
              <w:rPr>
                <w:sz w:val="22"/>
                <w:szCs w:val="22"/>
              </w:rPr>
            </w:pPr>
            <w:r>
              <w:rPr>
                <w:rFonts w:ascii="Times New Roman" w:hAnsi="Times New Roman" w:cs="Times New Roman"/>
                <w:color w:val="#000000"/>
                <w:sz w:val="22"/>
                <w:szCs w:val="22"/>
              </w:rPr>
              <w:t> Правовое обеспечение формирования и оценки стоимости организации</w:t>
            </w:r>
          </w:p>
          <w:p>
            <w:pPr>
              <w:jc w:val="center"/>
              <w:spacing w:after="0" w:line="240" w:lineRule="auto"/>
              <w:rPr>
                <w:sz w:val="22"/>
                <w:szCs w:val="22"/>
              </w:rPr>
            </w:pPr>
            <w:r>
              <w:rPr>
                <w:rFonts w:ascii="Times New Roman" w:hAnsi="Times New Roman" w:cs="Times New Roman"/>
                <w:color w:val="#000000"/>
                <w:sz w:val="22"/>
                <w:szCs w:val="22"/>
              </w:rPr>
              <w:t> Ценообразование в оценочной деятельности</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Управление проектами</w:t>
            </w:r>
          </w:p>
          <w:p>
            <w:pPr>
              <w:jc w:val="center"/>
              <w:spacing w:after="0" w:line="240" w:lineRule="auto"/>
              <w:rPr>
                <w:sz w:val="22"/>
                <w:szCs w:val="22"/>
              </w:rPr>
            </w:pPr>
            <w:r>
              <w:rPr>
                <w:rFonts w:ascii="Times New Roman" w:hAnsi="Times New Roman" w:cs="Times New Roman"/>
                <w:color w:val="#000000"/>
                <w:sz w:val="22"/>
                <w:szCs w:val="22"/>
              </w:rPr>
              <w:t> Оценка ресурсов и результатов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435.1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14.5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Правовые основы документационного обеспечения в сфере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Основные функции и классификация документов в сфере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Оформление управленческих документов в сфере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Недвижимость, как часть инвестиционного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Согласование полученных данных оценки недвижимости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Организация документооборота в сфере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Систематизация и хранение документов в сфере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Правовые основы документационного обеспечения в сфере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Основные функции и классификация документов в сфере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Оформление управленческих документов в сфере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Недвижимость, как часть инвестиционного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Согласование полученных данных оценки недвижимости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Организация документооборота в сфере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Систематизация и хранение документов в сфере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Правовые основы документационного обеспечения в сфере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Основные функции и классификация документов в сфере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Оформление управленческих документов в сфере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Недвижимость, как часть инвестиционного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Согласование полученных данных оценки недвижимости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Организация документооборота в сфере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Систематизация и хранение документов в сфере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5113.9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817.8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Введение</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документационного обеспечения управления персоналом в деятельности организаций в современных условиях. Цели, задачи и содержание дисциплины, и ее роль в подготовке бакалавра. Основные термины и определения дисциплины «Документооборот в сфере оценочной деятельности».</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Правовые основы документационного обеспечения в сфере оценочной деятельности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Законодательное и нормативно-методическое регулирование документационного обеспечения управления персоналом в сфере оценочной деятельности. Состав современной законодательной и нормативно-методической базы, регламентирующей технологию создания, обработки, хранения и использования документов в текущей деятельности сферы оценочной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Основные функции и классификация документов в сфере оценочной деятельности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функции и классификация документов по различным признакам (происхождение, способ фиксации информации, содержание, наименование, степень подлинности, сложность содержания, юридическая сила, степень секретности, сроки хранения и др.). Обязательность документирования информации. Общероссийский классификатор управленческой документации (ОКУД).</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Оформление управленческих документов в сфере оценочной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Юридическая сила документа: понятие и факторы, влияющие на ее приобретение. Реквизиты, характеризующие автора официального письменного документа. Правила датирования, индексации и адресования документов. Требования к текстам документов. Внешнее и внутреннее согласование проекта документа. Правила подписания и утверждения документов. Удостоверение документов печатями. Служебные отметки на документах, их назначение и особенности оформления.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Недвижимость, как часть инвестиционного рынка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и методы управления недвижимостью. Прямое административное управление. Экономические методы управления. Законодательство в РФ регулирующее рынок недвижимости.  Особенности  спроса и предложения на недвижимость. Факторы, влияющие на стоимость недвижимости: макроэкономические, микроэкономические, местоположение, архитектурно-планировочные решения, наличие коммунальных услуг, инфраструктура.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Согласование полученных данных оценки недвижимости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Конституционные права граждан России. Гражданский кодекс - основа взаимоотношений субъектов на рынке имущества и бизнеса. Земельный кодекс РФ. Земельный кадастр. Водный кодекс РФ. Лесной кодекс РФ. Федеральный закон  «Об ипотеке (Залоге недвижимости)». Права и обязанности собственников земли, землевладельцев, землепользователей и арендаторов. Защита и гарантии прав собственности, владения, пользования. Институциональные права.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Организация документооборота в сфере оценочной деятельности</w:t>
            </w:r>
          </w:p>
        </w:tc>
      </w:tr>
      <w:tr>
        <w:trPr>
          <w:trHeight w:hRule="exact" w:val="1275.3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Нормативно-правовые акты, регламентирующие организацию работы с документам. Документооборот, общие правила его организации и учета. Документопотоки, их виды и особенности движения. Регистрация документов, её задачи, цели, формы, правила. Особенности регистрации входящих, внутренних и исходящих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документов, состав регистрационных индексов. Автоматизация процессов регистрации документов.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Систематизация и хранение документов в сфере оценочной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систематизации документов. Нормативно-правовые акты, регламентирующие систематизацию и организацию архивного хранения документов.</w:t>
            </w:r>
          </w:p>
          <w:p>
            <w:pPr>
              <w:jc w:val="both"/>
              <w:spacing w:after="0" w:line="240" w:lineRule="auto"/>
              <w:rPr>
                <w:sz w:val="24"/>
                <w:szCs w:val="24"/>
              </w:rPr>
            </w:pPr>
            <w:r>
              <w:rPr>
                <w:rFonts w:ascii="Times New Roman" w:hAnsi="Times New Roman" w:cs="Times New Roman"/>
                <w:color w:val="#000000"/>
                <w:sz w:val="24"/>
                <w:szCs w:val="24"/>
              </w:rPr>
              <w:t> Назначение, методика составления и оформления номенклатуры дел. Сроки хранения документов. Перечни документов с указанием сроков хранения. Порядок и основные правила формирования дел. Принципы систематизации документов внутри дела. Организация оперативного хранения документов.</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Введение</w:t>
            </w:r>
          </w:p>
        </w:tc>
      </w:tr>
      <w:tr>
        <w:trPr>
          <w:trHeight w:hRule="exact" w:val="21.3149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Значение документационного обеспечения управления персоналом в деятельности организаций в современных условиях. Цели, задачи и содержание дисциплины, и ее роль в подготовке бакалавра. Основные термины и определения дисциплины «Документооборот в сфере оценочной деятельности».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Правовые основы документационного обеспечения в сфере оценочной деятельности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Законодательное и нормативно-методическое регулирование документационного обеспечения управления персоналом в сфере оценочной деятельности. Состав современной законодательной и нормативно-методической базы, регламентирующей технологию создания, обработки, хранения и использования документов в текущей деятельности сферы оценочной деятельности.</w:t>
            </w: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Основные функции и классификация документов в сфере оценочной деятельности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функции и классификация документов по различным признакам (происхождение, способ фиксации информации, содержание, наименование, степень подлинности, сложность содержания, юридическая сила, степень секретности, сроки хранения и др.). Обязательность документирования информации. Общероссийский классификатор управленческой документации (ОКУД).</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Оформление управленческих документов в сфере оценочной деятельности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Юридическая сила документа: понятие и факторы, влияющие на ее приобретение. Реквизиты, характеризующие автора официального письменного документа. Правила датирования, индексации и адресования документов. Требования к текстам документов. Внешнее и внутреннее согласование проекта документа. Правила подписания и утверждения документов. Удостоверение документов печатями. Служебные отметки на документах, их назначение и особенности оформления.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Недвижимость, как часть инвестиционного рынка</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и методы управления недвижимостью. Прямое административное управление. Экономические методы управления. Законодательство в РФ регулирующее рынок недвижимости.  Особенности  спроса и предложения на недвижимость. Факторы, влияющие на стоимость недвижимости: макроэкономические, микроэкономические, местоположение, архитектурно-планировочные решения, наличие коммунальных услуг, инфраструктура.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Согласование полученных данных оценки недвижимости</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Конституционные права граждан России. Гражданский кодекс - основа взаимоотношений субъектов на рынке имущества и бизнеса. Земельный кодекс РФ. Земельный кадастр. Водный кодекс РФ. Лесной кодекс РФ. Федеральный закон  «Об ипотеке (Залоге недвижимости)». Права и обязанности собственников земли, землевладельцев, землепользователей и арендаторов. Защита и гарантии прав собственности, владения, пользования. Институциональные права.</w:t>
            </w:r>
          </w:p>
        </w:tc>
      </w:tr>
      <w:tr>
        <w:trPr>
          <w:trHeight w:hRule="exact" w:val="8.084821"/>
        </w:trPr>
        <w:tc>
          <w:tcPr>
            <w:tcW w:w="9640" w:type="dxa"/>
          </w:tcP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Организация документооборота в сфере оценочной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396.35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Нормативно-правовые акты, регламентирующие организацию работы с документам. Документооборот, общие правила его организации и учета. Документопотоки, их виды и особенности движения. Регистрация документов, её задачи, цели, формы, правила. Особенности регистрации входящих, внутренних и исходящих документов, состав регистрационных индексов. Автоматизация процессов регистрации документов.</w:t>
            </w:r>
          </w:p>
        </w:tc>
      </w:tr>
      <w:tr>
        <w:trPr>
          <w:trHeight w:hRule="exact" w:val="8.085045"/>
        </w:trPr>
        <w:tc>
          <w:tcPr>
            <w:tcW w:w="285" w:type="dxa"/>
          </w:tcPr>
          <w:p/>
        </w:tc>
        <w:tc>
          <w:tcPr>
            <w:tcW w:w="9356" w:type="dxa"/>
          </w:tcPr>
          <w:p/>
        </w:tc>
      </w:tr>
      <w:tr>
        <w:trPr>
          <w:trHeight w:hRule="exact" w:val="585.05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Систематизация и хранение документов в сфере оценочной деятельности</w:t>
            </w:r>
          </w:p>
        </w:tc>
      </w:tr>
      <w:tr>
        <w:trPr>
          <w:trHeight w:hRule="exact" w:val="21.31495"/>
        </w:trPr>
        <w:tc>
          <w:tcPr>
            <w:tcW w:w="285" w:type="dxa"/>
          </w:tcPr>
          <w:p/>
        </w:tc>
        <w:tc>
          <w:tcPr>
            <w:tcW w:w="9356" w:type="dxa"/>
          </w:tcPr>
          <w:p/>
        </w:tc>
      </w:tr>
      <w:tr>
        <w:trPr>
          <w:trHeight w:hRule="exact" w:val="1937.31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систематизации документов. Нормативно-правовые акты, регламентирующие систематизацию и организацию архивного хранения документов.</w:t>
            </w:r>
          </w:p>
          <w:p>
            <w:pPr>
              <w:jc w:val="left"/>
              <w:spacing w:after="0" w:line="240" w:lineRule="auto"/>
              <w:rPr>
                <w:sz w:val="24"/>
                <w:szCs w:val="24"/>
              </w:rPr>
            </w:pPr>
            <w:r>
              <w:rPr>
                <w:rFonts w:ascii="Times New Roman" w:hAnsi="Times New Roman" w:cs="Times New Roman"/>
                <w:color w:val="#000000"/>
                <w:sz w:val="24"/>
                <w:szCs w:val="24"/>
              </w:rPr>
              <w:t> Назначение, методика составления и оформления номенклатуры дел. Сроки хранения документов. Перечни документов с указанием сроков хранения. Порядок и основные правила формирования дел. Принципы систематизации документов внутри дела. Организация оперативного хранения документов.</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«Документооборот в сфере оценочной деятельности» / Ридченко А.И..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бизнеса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Бакаева,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Успаева,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Хаджиев,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бизнеса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978-5-4497-0119-0.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http://www.iprbookshop.ru/92121.html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бизнеса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Шовхалов,</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бизнеса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Красноярск: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978-5-7638-4110-7.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http://www.iprbookshop.ru/100078.html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электронного</w:t>
            </w:r>
            <w:r>
              <w:rPr/>
              <w:t xml:space="preserve"> </w:t>
            </w:r>
            <w:r>
              <w:rPr>
                <w:rFonts w:ascii="Times New Roman" w:hAnsi="Times New Roman" w:cs="Times New Roman"/>
                <w:color w:val="#000000"/>
                <w:sz w:val="24"/>
                <w:szCs w:val="24"/>
              </w:rPr>
              <w:t>документооборота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Романенко,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Шагрова,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электронного</w:t>
            </w:r>
            <w:r>
              <w:rPr/>
              <w:t xml:space="preserve"> </w:t>
            </w:r>
            <w:r>
              <w:rPr>
                <w:rFonts w:ascii="Times New Roman" w:hAnsi="Times New Roman" w:cs="Times New Roman"/>
                <w:color w:val="#000000"/>
                <w:sz w:val="24"/>
                <w:szCs w:val="24"/>
              </w:rPr>
              <w:t>документооборота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http://www.iprbookshop.ru/92675.html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Документационное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Гринберг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Горбачёв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Горбачёв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Мухаметшина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Документационное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978-5-238-01770-9.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http://www.iprbookshop.ru/71213.html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741.0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7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929.33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752.9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55.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2023-2024_ФГОС3++2023_Бак-ОФО-Э(БАиОСИ)(23)_plx_Документооборот в сфере оценочной деятельности</dc:title>
  <dc:creator>FastReport.NET</dc:creator>
</cp:coreProperties>
</file>